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9C3" w:rsidRDefault="000C6806" w:rsidP="002A29C3">
      <w:pPr>
        <w:adjustRightInd w:val="0"/>
        <w:snapToGrid w:val="0"/>
        <w:spacing w:line="360" w:lineRule="auto"/>
        <w:ind w:firstLineChars="246" w:firstLine="738"/>
        <w:jc w:val="center"/>
        <w:rPr>
          <w:rFonts w:ascii="黑体" w:eastAsia="黑体" w:hAnsi="黑体" w:hint="eastAsia"/>
          <w:bCs/>
          <w:sz w:val="30"/>
          <w:szCs w:val="30"/>
        </w:rPr>
      </w:pPr>
      <w:r w:rsidRPr="002A29C3">
        <w:rPr>
          <w:rFonts w:ascii="黑体" w:eastAsia="黑体" w:hAnsi="黑体"/>
          <w:bCs/>
          <w:sz w:val="30"/>
          <w:szCs w:val="30"/>
        </w:rPr>
        <w:t>HER-2在胃癌组织中的表达及其对预后的影响</w:t>
      </w:r>
    </w:p>
    <w:p w:rsidR="00BC6560" w:rsidRPr="002A29C3" w:rsidRDefault="00BC6560" w:rsidP="002A29C3">
      <w:pPr>
        <w:adjustRightInd w:val="0"/>
        <w:snapToGrid w:val="0"/>
        <w:spacing w:line="360" w:lineRule="auto"/>
        <w:ind w:firstLineChars="246" w:firstLine="738"/>
        <w:jc w:val="center"/>
        <w:rPr>
          <w:rFonts w:ascii="黑体" w:eastAsia="黑体" w:hAnsi="黑体" w:hint="eastAsia"/>
          <w:bCs/>
          <w:sz w:val="30"/>
          <w:szCs w:val="30"/>
        </w:rPr>
      </w:pPr>
    </w:p>
    <w:p w:rsidR="002A29C3" w:rsidRDefault="002A29C3" w:rsidP="002A29C3">
      <w:pPr>
        <w:adjustRightInd w:val="0"/>
        <w:snapToGrid w:val="0"/>
        <w:spacing w:line="360" w:lineRule="auto"/>
        <w:jc w:val="center"/>
        <w:rPr>
          <w:rFonts w:eastAsia="黑体" w:hint="eastAsia"/>
          <w:bCs/>
          <w:sz w:val="32"/>
          <w:szCs w:val="32"/>
        </w:rPr>
      </w:pPr>
      <w:r>
        <w:rPr>
          <w:rFonts w:ascii="宋体" w:hAnsi="宋体" w:hint="eastAsia"/>
          <w:bCs/>
          <w:sz w:val="24"/>
        </w:rPr>
        <w:t>研 究 生：潘平</w:t>
      </w:r>
    </w:p>
    <w:p w:rsidR="002A29C3" w:rsidRDefault="002A29C3" w:rsidP="002A29C3">
      <w:pPr>
        <w:adjustRightInd w:val="0"/>
        <w:snapToGrid w:val="0"/>
        <w:spacing w:line="360" w:lineRule="auto"/>
        <w:jc w:val="center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指导教师：仝运科</w:t>
      </w:r>
    </w:p>
    <w:p w:rsidR="00BC6560" w:rsidRDefault="00BC6560" w:rsidP="002A29C3">
      <w:pPr>
        <w:adjustRightInd w:val="0"/>
        <w:snapToGrid w:val="0"/>
        <w:spacing w:line="360" w:lineRule="auto"/>
        <w:jc w:val="center"/>
        <w:rPr>
          <w:rFonts w:eastAsia="黑体"/>
          <w:bCs/>
          <w:sz w:val="32"/>
          <w:szCs w:val="32"/>
        </w:rPr>
      </w:pPr>
    </w:p>
    <w:p w:rsidR="000C6806" w:rsidRPr="002A29C3" w:rsidRDefault="000C6806" w:rsidP="000C6806">
      <w:pPr>
        <w:adjustRightInd w:val="0"/>
        <w:snapToGrid w:val="0"/>
        <w:spacing w:line="360" w:lineRule="auto"/>
        <w:jc w:val="center"/>
        <w:rPr>
          <w:rFonts w:eastAsia="黑体"/>
          <w:bCs/>
          <w:sz w:val="24"/>
        </w:rPr>
      </w:pPr>
      <w:r w:rsidRPr="002A29C3">
        <w:rPr>
          <w:rFonts w:eastAsia="黑体"/>
          <w:bCs/>
          <w:sz w:val="24"/>
        </w:rPr>
        <w:t>摘要</w:t>
      </w:r>
    </w:p>
    <w:p w:rsidR="002A29C3" w:rsidRPr="00BC6560" w:rsidRDefault="000C6806" w:rsidP="00BC6560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黑体" w:hint="eastAsia"/>
          <w:sz w:val="24"/>
        </w:rPr>
      </w:pPr>
      <w:r w:rsidRPr="00BC6560">
        <w:rPr>
          <w:rFonts w:ascii="黑体" w:eastAsia="黑体" w:hAnsi="黑体"/>
          <w:sz w:val="24"/>
        </w:rPr>
        <w:t>目的</w:t>
      </w:r>
      <w:r w:rsidR="002A29C3" w:rsidRPr="00BC6560">
        <w:rPr>
          <w:rFonts w:ascii="黑体" w:eastAsia="黑体" w:hAnsi="黑体" w:hint="eastAsia"/>
          <w:sz w:val="24"/>
        </w:rPr>
        <w:t xml:space="preserve"> </w:t>
      </w:r>
    </w:p>
    <w:p w:rsidR="000C6806" w:rsidRPr="002A29C3" w:rsidRDefault="000C6806" w:rsidP="00BC6560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A29C3">
        <w:rPr>
          <w:rFonts w:asciiTheme="minorEastAsia" w:eastAsiaTheme="minorEastAsia" w:hAnsiTheme="minorEastAsia"/>
          <w:sz w:val="24"/>
        </w:rPr>
        <w:t>本研究初步探讨了</w:t>
      </w:r>
      <w:bookmarkStart w:id="0" w:name="OLE_LINK3"/>
      <w:bookmarkStart w:id="1" w:name="OLE_LINK4"/>
      <w:r w:rsidRPr="002A29C3">
        <w:rPr>
          <w:rFonts w:eastAsiaTheme="minorEastAsia"/>
          <w:sz w:val="24"/>
        </w:rPr>
        <w:t>HER-2</w:t>
      </w:r>
      <w:bookmarkEnd w:id="0"/>
      <w:bookmarkEnd w:id="1"/>
      <w:r w:rsidRPr="002A29C3">
        <w:rPr>
          <w:rFonts w:asciiTheme="minorEastAsia" w:eastAsiaTheme="minorEastAsia" w:hAnsiTheme="minorEastAsia"/>
          <w:sz w:val="24"/>
        </w:rPr>
        <w:t>基因过表达与胃癌生物学行为及病理特征的相关性，并回顾性对比分析其对患者生存期的影响，并分析</w:t>
      </w:r>
      <w:r w:rsidRPr="002A29C3">
        <w:rPr>
          <w:rFonts w:eastAsiaTheme="minorEastAsia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能否作为胃癌预后的独立影响因素，从而为胃癌的个体化精准靶向治疗提供临床依据，并更好的预测胃癌患者的预后。</w:t>
      </w:r>
    </w:p>
    <w:p w:rsidR="002A29C3" w:rsidRPr="00BC6560" w:rsidRDefault="000C6806" w:rsidP="00BC6560">
      <w:pPr>
        <w:adjustRightInd w:val="0"/>
        <w:spacing w:line="360" w:lineRule="auto"/>
        <w:ind w:firstLineChars="200" w:firstLine="480"/>
        <w:rPr>
          <w:rFonts w:ascii="黑体" w:eastAsia="黑体" w:hAnsi="黑体" w:hint="eastAsia"/>
          <w:sz w:val="24"/>
        </w:rPr>
      </w:pPr>
      <w:r w:rsidRPr="00BC6560">
        <w:rPr>
          <w:rFonts w:ascii="黑体" w:eastAsia="黑体" w:hAnsi="黑体"/>
          <w:sz w:val="24"/>
        </w:rPr>
        <w:t>方法</w:t>
      </w:r>
    </w:p>
    <w:p w:rsidR="000C6806" w:rsidRPr="002A29C3" w:rsidRDefault="000C6806" w:rsidP="00BC6560">
      <w:pPr>
        <w:adjustRightIn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A29C3">
        <w:rPr>
          <w:rFonts w:asciiTheme="minorEastAsia" w:eastAsiaTheme="minorEastAsia" w:hAnsiTheme="minorEastAsia"/>
          <w:sz w:val="24"/>
        </w:rPr>
        <w:t>收集</w:t>
      </w:r>
      <w:r w:rsidRPr="002A29C3">
        <w:rPr>
          <w:rFonts w:asciiTheme="minorEastAsia" w:eastAsiaTheme="minorEastAsia" w:hAnsiTheme="minorEastAsia" w:hint="eastAsia"/>
          <w:sz w:val="24"/>
        </w:rPr>
        <w:t>南阳市中心</w:t>
      </w:r>
      <w:r w:rsidRPr="002A29C3">
        <w:rPr>
          <w:rFonts w:asciiTheme="minorEastAsia" w:eastAsiaTheme="minorEastAsia" w:hAnsiTheme="minorEastAsia"/>
          <w:sz w:val="24"/>
        </w:rPr>
        <w:t>医院2012.01.01-2014.12.30经术后病理证实为胃癌且临床资料完整的组织标本84例，对病理组织标本采用免疫组织化学（</w:t>
      </w:r>
      <w:r w:rsidRPr="002A29C3">
        <w:rPr>
          <w:rFonts w:eastAsiaTheme="minorEastAsia"/>
          <w:bCs/>
          <w:sz w:val="24"/>
        </w:rPr>
        <w:t>IHC</w:t>
      </w:r>
      <w:r w:rsidRPr="002A29C3">
        <w:rPr>
          <w:rFonts w:asciiTheme="minorEastAsia" w:eastAsiaTheme="minorEastAsia" w:hAnsiTheme="minorEastAsia"/>
          <w:sz w:val="24"/>
        </w:rPr>
        <w:t>）及</w:t>
      </w:r>
      <w:r w:rsidRPr="002A29C3">
        <w:rPr>
          <w:rFonts w:asciiTheme="minorEastAsia" w:eastAsiaTheme="minorEastAsia" w:hAnsiTheme="minorEastAsia"/>
          <w:sz w:val="24"/>
          <w:shd w:val="clear" w:color="auto" w:fill="FFFFFF"/>
        </w:rPr>
        <w:t>荧光原位杂交(</w:t>
      </w:r>
      <w:r w:rsidRPr="002A29C3">
        <w:rPr>
          <w:rFonts w:eastAsiaTheme="minorEastAsia"/>
          <w:sz w:val="24"/>
          <w:shd w:val="clear" w:color="auto" w:fill="FFFFFF"/>
        </w:rPr>
        <w:t>FISH</w:t>
      </w:r>
      <w:r w:rsidRPr="002A29C3">
        <w:rPr>
          <w:rFonts w:asciiTheme="minorEastAsia" w:eastAsiaTheme="minorEastAsia" w:hAnsiTheme="minorEastAsia"/>
          <w:sz w:val="24"/>
          <w:shd w:val="clear" w:color="auto" w:fill="FFFFFF"/>
        </w:rPr>
        <w:t>)</w:t>
      </w:r>
      <w:r w:rsidRPr="002A29C3">
        <w:rPr>
          <w:rFonts w:asciiTheme="minorEastAsia" w:eastAsiaTheme="minorEastAsia" w:hAnsiTheme="minorEastAsia"/>
          <w:sz w:val="24"/>
        </w:rPr>
        <w:t>检测</w:t>
      </w:r>
      <w:r w:rsidRPr="002A29C3">
        <w:rPr>
          <w:rFonts w:eastAsiaTheme="minorEastAsia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的表达情况，并明确</w:t>
      </w:r>
      <w:r w:rsidRPr="002A29C3">
        <w:rPr>
          <w:rFonts w:eastAsiaTheme="minorEastAsia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的表达与胃癌临床病理特征之间的关系及</w:t>
      </w:r>
      <w:r w:rsidRPr="002A29C3">
        <w:rPr>
          <w:rFonts w:eastAsiaTheme="minorEastAsia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过表达对患者生存期及预后的影响，采用</w:t>
      </w:r>
      <w:r w:rsidRPr="002A29C3">
        <w:rPr>
          <w:rFonts w:eastAsiaTheme="minorEastAsia"/>
          <w:sz w:val="24"/>
        </w:rPr>
        <w:t>SPSS 21.0</w:t>
      </w:r>
      <w:r w:rsidRPr="002A29C3">
        <w:rPr>
          <w:rFonts w:asciiTheme="minorEastAsia" w:eastAsiaTheme="minorEastAsia" w:hAnsiTheme="minorEastAsia"/>
          <w:sz w:val="24"/>
        </w:rPr>
        <w:t>统计学软件对数据结果进行分析。</w:t>
      </w:r>
    </w:p>
    <w:p w:rsidR="000C6806" w:rsidRPr="00BC6560" w:rsidRDefault="000C6806" w:rsidP="00BC6560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 w:rsidRPr="00BC6560">
        <w:rPr>
          <w:rFonts w:ascii="黑体" w:eastAsia="黑体" w:hAnsi="黑体"/>
          <w:sz w:val="24"/>
        </w:rPr>
        <w:t>结果</w:t>
      </w:r>
    </w:p>
    <w:p w:rsidR="000C6806" w:rsidRPr="002A29C3" w:rsidRDefault="000C6806" w:rsidP="002A29C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A29C3">
        <w:rPr>
          <w:rFonts w:asciiTheme="minorEastAsia" w:eastAsiaTheme="minorEastAsia" w:hAnsiTheme="minorEastAsia"/>
          <w:sz w:val="24"/>
        </w:rPr>
        <w:t>1.84例胃癌组织中</w:t>
      </w:r>
      <w:r w:rsidRPr="002A29C3">
        <w:rPr>
          <w:rFonts w:eastAsiaTheme="minorEastAsia"/>
          <w:sz w:val="24"/>
        </w:rPr>
        <w:t>HER</w:t>
      </w:r>
      <w:r w:rsidRPr="00BC6560">
        <w:rPr>
          <w:rFonts w:eastAsiaTheme="minorEastAsia"/>
          <w:sz w:val="24"/>
        </w:rPr>
        <w:t>-2</w:t>
      </w:r>
      <w:r w:rsidRPr="002A29C3">
        <w:rPr>
          <w:rFonts w:asciiTheme="minorEastAsia" w:eastAsiaTheme="minorEastAsia" w:hAnsiTheme="minorEastAsia"/>
          <w:sz w:val="24"/>
        </w:rPr>
        <w:t>阳性表达率约为11.9%（10/84）；</w:t>
      </w:r>
    </w:p>
    <w:p w:rsidR="000C6806" w:rsidRPr="002A29C3" w:rsidRDefault="000C6806" w:rsidP="002A29C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A29C3">
        <w:rPr>
          <w:rFonts w:asciiTheme="minorEastAsia" w:eastAsiaTheme="minorEastAsia" w:hAnsiTheme="minorEastAsia"/>
          <w:sz w:val="24"/>
        </w:rPr>
        <w:t>2.在男、女性胃癌患者中</w:t>
      </w:r>
      <w:r w:rsidRPr="002A29C3">
        <w:rPr>
          <w:rFonts w:eastAsiaTheme="minorEastAsia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阳性表达率分别为13.33%、8.33%；在确诊年龄</w:t>
      </w:r>
      <w:r w:rsidRPr="002A29C3">
        <w:rPr>
          <w:rFonts w:asciiTheme="minorEastAsia" w:eastAsiaTheme="minorEastAsia" w:hAnsiTheme="minorEastAsia"/>
          <w:kern w:val="0"/>
          <w:sz w:val="24"/>
        </w:rPr>
        <w:t>≤60岁及&gt;60岁的患者中阳性表达率分别为10.53%、13.04%</w:t>
      </w:r>
      <w:r w:rsidRPr="002A29C3">
        <w:rPr>
          <w:rFonts w:asciiTheme="minorEastAsia" w:eastAsiaTheme="minorEastAsia" w:hAnsiTheme="minorEastAsia"/>
          <w:sz w:val="24"/>
        </w:rPr>
        <w:t>；其中高、中分化25例样本中</w:t>
      </w:r>
      <w:r w:rsidRPr="002A29C3">
        <w:rPr>
          <w:rFonts w:eastAsiaTheme="minorEastAsia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阳性表达率为8.00%（2/25），低分化组阳性表达率为13.56%（8/59）；在胃癌切除标本最大长径</w:t>
      </w:r>
      <w:r w:rsidRPr="002A29C3">
        <w:rPr>
          <w:rFonts w:asciiTheme="minorEastAsia" w:eastAsiaTheme="minorEastAsia" w:hAnsiTheme="minorEastAsia"/>
          <w:kern w:val="0"/>
          <w:sz w:val="24"/>
        </w:rPr>
        <w:t>≤5cm及</w:t>
      </w:r>
      <w:r w:rsidRPr="002A29C3">
        <w:rPr>
          <w:rFonts w:asciiTheme="minorEastAsia" w:eastAsiaTheme="minorEastAsia" w:hAnsiTheme="minorEastAsia"/>
          <w:sz w:val="24"/>
        </w:rPr>
        <w:t>最大长径</w:t>
      </w:r>
      <w:r w:rsidRPr="002A29C3">
        <w:rPr>
          <w:rFonts w:asciiTheme="minorEastAsia" w:eastAsiaTheme="minorEastAsia" w:hAnsiTheme="minorEastAsia"/>
          <w:kern w:val="0"/>
          <w:sz w:val="24"/>
        </w:rPr>
        <w:t>&gt;5cm</w:t>
      </w:r>
      <w:r w:rsidRPr="002A29C3">
        <w:rPr>
          <w:rFonts w:asciiTheme="minorEastAsia" w:eastAsiaTheme="minorEastAsia" w:hAnsiTheme="minorEastAsia"/>
          <w:sz w:val="24"/>
        </w:rPr>
        <w:t>的组织</w:t>
      </w:r>
      <w:r w:rsidRPr="002A29C3">
        <w:rPr>
          <w:rFonts w:asciiTheme="minorEastAsia" w:eastAsiaTheme="minorEastAsia" w:hAnsiTheme="minorEastAsia"/>
          <w:kern w:val="0"/>
          <w:sz w:val="24"/>
        </w:rPr>
        <w:t>标本</w:t>
      </w:r>
      <w:r w:rsidRPr="002A29C3">
        <w:rPr>
          <w:rFonts w:asciiTheme="minorEastAsia" w:eastAsiaTheme="minorEastAsia" w:hAnsiTheme="minorEastAsia"/>
          <w:sz w:val="24"/>
        </w:rPr>
        <w:t>中</w:t>
      </w:r>
      <w:r w:rsidRPr="002A29C3">
        <w:rPr>
          <w:rFonts w:asciiTheme="minorEastAsia" w:eastAsiaTheme="minorEastAsia" w:hAnsiTheme="minorEastAsia"/>
          <w:kern w:val="0"/>
          <w:sz w:val="24"/>
        </w:rPr>
        <w:t>，</w:t>
      </w:r>
      <w:r w:rsidRPr="002A29C3">
        <w:rPr>
          <w:rFonts w:eastAsiaTheme="minorEastAsia"/>
          <w:kern w:val="0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阳性表达率分别为10.87%（5/46）、13.16%（5/38），以上各组临床病理特征间差异均无统计学意义（</w:t>
      </w:r>
      <w:r w:rsidRPr="00BC6560">
        <w:rPr>
          <w:rFonts w:eastAsiaTheme="minorEastAsia"/>
          <w:i/>
          <w:sz w:val="24"/>
        </w:rPr>
        <w:t>P</w:t>
      </w:r>
      <w:r w:rsidRPr="002A29C3">
        <w:rPr>
          <w:rFonts w:asciiTheme="minorEastAsia" w:eastAsiaTheme="minorEastAsia" w:hAnsiTheme="minorEastAsia"/>
          <w:kern w:val="0"/>
          <w:sz w:val="24"/>
        </w:rPr>
        <w:t>&gt;</w:t>
      </w:r>
      <w:r w:rsidRPr="002A29C3">
        <w:rPr>
          <w:rFonts w:asciiTheme="minorEastAsia" w:eastAsiaTheme="minorEastAsia" w:hAnsiTheme="minorEastAsia"/>
          <w:sz w:val="24"/>
        </w:rPr>
        <w:t>0.05）；</w:t>
      </w:r>
    </w:p>
    <w:p w:rsidR="000C6806" w:rsidRPr="002A29C3" w:rsidRDefault="000C6806" w:rsidP="002A29C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A29C3">
        <w:rPr>
          <w:rFonts w:asciiTheme="minorEastAsia" w:eastAsiaTheme="minorEastAsia" w:hAnsiTheme="minorEastAsia"/>
          <w:sz w:val="24"/>
        </w:rPr>
        <w:t>3.在</w:t>
      </w:r>
      <w:r w:rsidRPr="002A29C3">
        <w:rPr>
          <w:rFonts w:eastAsiaTheme="minorEastAsia"/>
          <w:sz w:val="24"/>
        </w:rPr>
        <w:t>T</w:t>
      </w:r>
      <w:r w:rsidRPr="002A29C3">
        <w:rPr>
          <w:rFonts w:eastAsiaTheme="minorEastAsia"/>
          <w:sz w:val="24"/>
          <w:vertAlign w:val="subscript"/>
        </w:rPr>
        <w:t>1</w:t>
      </w:r>
      <w:r w:rsidRPr="002A29C3">
        <w:rPr>
          <w:rFonts w:eastAsiaTheme="minorEastAsia" w:hAnsiTheme="minorEastAsia"/>
          <w:sz w:val="24"/>
        </w:rPr>
        <w:t>、</w:t>
      </w:r>
      <w:r w:rsidRPr="002A29C3">
        <w:rPr>
          <w:rFonts w:eastAsiaTheme="minorEastAsia"/>
          <w:sz w:val="24"/>
        </w:rPr>
        <w:t>T</w:t>
      </w:r>
      <w:r w:rsidRPr="002A29C3">
        <w:rPr>
          <w:rFonts w:eastAsiaTheme="minorEastAsia"/>
          <w:sz w:val="24"/>
          <w:vertAlign w:val="subscript"/>
        </w:rPr>
        <w:t>2</w:t>
      </w:r>
      <w:r w:rsidRPr="002A29C3">
        <w:rPr>
          <w:rFonts w:asciiTheme="minorEastAsia" w:eastAsiaTheme="minorEastAsia" w:hAnsiTheme="minorEastAsia"/>
          <w:sz w:val="24"/>
        </w:rPr>
        <w:t>期</w:t>
      </w:r>
      <w:r w:rsidRPr="002A29C3">
        <w:rPr>
          <w:rFonts w:asciiTheme="minorEastAsia" w:eastAsiaTheme="minorEastAsia" w:hAnsiTheme="minorEastAsia"/>
          <w:kern w:val="0"/>
          <w:sz w:val="24"/>
        </w:rPr>
        <w:t>共计24例患者中，未发现</w:t>
      </w:r>
      <w:r w:rsidRPr="00BC6560">
        <w:rPr>
          <w:rFonts w:eastAsiaTheme="minorEastAsia"/>
          <w:kern w:val="0"/>
          <w:sz w:val="24"/>
        </w:rPr>
        <w:t>HER-2</w:t>
      </w:r>
      <w:r w:rsidRPr="002A29C3">
        <w:rPr>
          <w:rFonts w:asciiTheme="minorEastAsia" w:eastAsiaTheme="minorEastAsia" w:hAnsiTheme="minorEastAsia"/>
          <w:kern w:val="0"/>
          <w:sz w:val="24"/>
        </w:rPr>
        <w:t>阳性表达者，</w:t>
      </w:r>
      <w:r w:rsidRPr="002A29C3">
        <w:rPr>
          <w:rFonts w:eastAsiaTheme="minorEastAsia"/>
          <w:sz w:val="24"/>
        </w:rPr>
        <w:t>T</w:t>
      </w:r>
      <w:r w:rsidRPr="002A29C3">
        <w:rPr>
          <w:rFonts w:eastAsiaTheme="minorEastAsia"/>
          <w:sz w:val="24"/>
          <w:vertAlign w:val="subscript"/>
        </w:rPr>
        <w:t>3</w:t>
      </w:r>
      <w:r w:rsidRPr="002A29C3">
        <w:rPr>
          <w:rFonts w:eastAsiaTheme="minorEastAsia" w:hAnsiTheme="minorEastAsia"/>
          <w:sz w:val="24"/>
        </w:rPr>
        <w:t>、</w:t>
      </w:r>
      <w:r w:rsidRPr="002A29C3">
        <w:rPr>
          <w:rFonts w:eastAsiaTheme="minorEastAsia"/>
          <w:sz w:val="24"/>
        </w:rPr>
        <w:t>T</w:t>
      </w:r>
      <w:r w:rsidRPr="002A29C3">
        <w:rPr>
          <w:rFonts w:eastAsiaTheme="minorEastAsia"/>
          <w:sz w:val="24"/>
          <w:vertAlign w:val="subscript"/>
        </w:rPr>
        <w:t>4</w:t>
      </w:r>
      <w:r w:rsidRPr="002A29C3">
        <w:rPr>
          <w:rFonts w:asciiTheme="minorEastAsia" w:eastAsiaTheme="minorEastAsia" w:hAnsiTheme="minorEastAsia"/>
          <w:sz w:val="24"/>
        </w:rPr>
        <w:t>期60例患者中</w:t>
      </w:r>
      <w:r w:rsidRPr="002A29C3">
        <w:rPr>
          <w:rFonts w:eastAsiaTheme="minorEastAsia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阳性表达率为16.67%（10/60）；在淋巴结转移阳性组及淋巴结转移阴性组其阳性表达率分别为18.00%（9/50）、2.94%（1/34）；</w:t>
      </w:r>
      <w:r w:rsidRPr="002A29C3">
        <w:rPr>
          <w:rFonts w:eastAsiaTheme="minorEastAsia"/>
          <w:sz w:val="24"/>
        </w:rPr>
        <w:t xml:space="preserve"> HER-2</w:t>
      </w:r>
      <w:r w:rsidRPr="002A29C3">
        <w:rPr>
          <w:rFonts w:asciiTheme="minorEastAsia" w:eastAsiaTheme="minorEastAsia" w:hAnsiTheme="minorEastAsia"/>
          <w:sz w:val="24"/>
        </w:rPr>
        <w:t>在肠型胃癌中阳性表达率明显高于在弥漫型胃癌中的阳性表达率（21.88% VS 5.77%）；</w:t>
      </w:r>
      <w:r w:rsidRPr="002A29C3">
        <w:rPr>
          <w:rFonts w:eastAsiaTheme="minorEastAsia"/>
          <w:sz w:val="24"/>
        </w:rPr>
        <w:lastRenderedPageBreak/>
        <w:t>TNM</w:t>
      </w:r>
      <w:r w:rsidRPr="002A29C3">
        <w:rPr>
          <w:rFonts w:asciiTheme="minorEastAsia" w:eastAsiaTheme="minorEastAsia" w:hAnsiTheme="minorEastAsia"/>
          <w:sz w:val="24"/>
        </w:rPr>
        <w:t>分期为</w:t>
      </w:r>
      <w:r w:rsidR="002A29C3">
        <w:rPr>
          <w:rFonts w:asciiTheme="minorEastAsia" w:eastAsiaTheme="minorEastAsia" w:hAnsiTheme="minorEastAsia" w:hint="eastAsia"/>
          <w:sz w:val="24"/>
        </w:rPr>
        <w:t>Ⅰ</w:t>
      </w:r>
      <w:r w:rsidRPr="002A29C3">
        <w:rPr>
          <w:rFonts w:asciiTheme="minorEastAsia" w:eastAsiaTheme="minorEastAsia" w:hAnsiTheme="minorEastAsia"/>
          <w:sz w:val="24"/>
        </w:rPr>
        <w:t>期的胃癌患者，未见</w:t>
      </w:r>
      <w:r w:rsidRPr="002A29C3">
        <w:rPr>
          <w:rFonts w:eastAsiaTheme="minorEastAsia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阳性表达，Ⅱ期患者中，1例存在过表达，</w:t>
      </w:r>
      <w:r w:rsidR="002A29C3">
        <w:rPr>
          <w:rFonts w:asciiTheme="minorEastAsia" w:eastAsiaTheme="minorEastAsia" w:hAnsiTheme="minorEastAsia" w:hint="eastAsia"/>
          <w:sz w:val="24"/>
        </w:rPr>
        <w:t>Ⅰ</w:t>
      </w:r>
      <w:r w:rsidRPr="002A29C3">
        <w:rPr>
          <w:rFonts w:asciiTheme="minorEastAsia" w:eastAsiaTheme="minorEastAsia" w:hAnsiTheme="minorEastAsia"/>
          <w:sz w:val="24"/>
        </w:rPr>
        <w:t>、Ⅱ期患者</w:t>
      </w:r>
      <w:r w:rsidRPr="002A29C3">
        <w:rPr>
          <w:rFonts w:eastAsiaTheme="minorEastAsia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阳性表达率为3.03%（1/33），Ⅲ期患者</w:t>
      </w:r>
      <w:r w:rsidRPr="002A29C3">
        <w:rPr>
          <w:rFonts w:eastAsiaTheme="minorEastAsia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阳性表达率为17.65%（9/51），以上各组间差异有统计学意义（</w:t>
      </w:r>
      <w:r w:rsidRPr="002A29C3">
        <w:rPr>
          <w:rFonts w:eastAsiaTheme="minorEastAsia"/>
          <w:i/>
          <w:sz w:val="24"/>
        </w:rPr>
        <w:t>P</w:t>
      </w:r>
      <w:r w:rsidRPr="002A29C3">
        <w:rPr>
          <w:rFonts w:asciiTheme="minorEastAsia" w:eastAsiaTheme="minorEastAsia" w:hAnsiTheme="minorEastAsia"/>
          <w:sz w:val="24"/>
        </w:rPr>
        <w:t>&lt;0.05）；</w:t>
      </w:r>
    </w:p>
    <w:p w:rsidR="000C6806" w:rsidRPr="002A29C3" w:rsidRDefault="000C6806" w:rsidP="002A29C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A29C3">
        <w:rPr>
          <w:rFonts w:asciiTheme="minorEastAsia" w:eastAsiaTheme="minorEastAsia" w:hAnsiTheme="minorEastAsia"/>
          <w:sz w:val="24"/>
        </w:rPr>
        <w:t>4.采用</w:t>
      </w:r>
      <w:r w:rsidRPr="002A29C3">
        <w:rPr>
          <w:rFonts w:eastAsiaTheme="minorEastAsia"/>
          <w:i/>
          <w:sz w:val="24"/>
        </w:rPr>
        <w:t>log-rank</w:t>
      </w:r>
      <w:r w:rsidRPr="002A29C3">
        <w:rPr>
          <w:rFonts w:asciiTheme="minorEastAsia" w:eastAsiaTheme="minorEastAsia" w:hAnsiTheme="minorEastAsia"/>
          <w:sz w:val="24"/>
        </w:rPr>
        <w:t>法进行预后的单因素生存分析，结果显示，存在</w:t>
      </w:r>
      <w:r w:rsidRPr="00BC6560">
        <w:rPr>
          <w:rFonts w:eastAsiaTheme="minorEastAsia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过表达或基因扩增的胃癌患者，其中位生存时间明显短于</w:t>
      </w:r>
      <w:r w:rsidRPr="002A29C3">
        <w:rPr>
          <w:rFonts w:eastAsiaTheme="minorEastAsia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阴性者（</w:t>
      </w:r>
      <w:r w:rsidRPr="002A29C3">
        <w:rPr>
          <w:rFonts w:eastAsiaTheme="minorEastAsia"/>
          <w:i/>
          <w:sz w:val="24"/>
        </w:rPr>
        <w:t>P</w:t>
      </w:r>
      <w:r w:rsidRPr="002A29C3">
        <w:rPr>
          <w:rFonts w:asciiTheme="minorEastAsia" w:eastAsiaTheme="minorEastAsia" w:hAnsiTheme="minorEastAsia"/>
          <w:sz w:val="24"/>
        </w:rPr>
        <w:t>&lt;0.05）；</w:t>
      </w:r>
    </w:p>
    <w:p w:rsidR="000C6806" w:rsidRPr="002A29C3" w:rsidRDefault="000C6806" w:rsidP="002A29C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A29C3">
        <w:rPr>
          <w:rFonts w:asciiTheme="minorEastAsia" w:eastAsiaTheme="minorEastAsia" w:hAnsiTheme="minorEastAsia"/>
          <w:sz w:val="24"/>
        </w:rPr>
        <w:t>5.采用</w:t>
      </w:r>
      <w:r w:rsidRPr="002A29C3">
        <w:rPr>
          <w:rFonts w:eastAsiaTheme="minorEastAsia"/>
          <w:sz w:val="24"/>
        </w:rPr>
        <w:t>Cox</w:t>
      </w:r>
      <w:r w:rsidRPr="002A29C3">
        <w:rPr>
          <w:rFonts w:asciiTheme="minorEastAsia" w:eastAsiaTheme="minorEastAsia" w:hAnsiTheme="minorEastAsia"/>
          <w:sz w:val="24"/>
          <w:shd w:val="clear" w:color="auto" w:fill="FFFFFF"/>
        </w:rPr>
        <w:t>比例风险回归模型分析，结果表明，</w:t>
      </w:r>
      <w:r w:rsidRPr="002A29C3">
        <w:rPr>
          <w:rFonts w:eastAsiaTheme="minorEastAsia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表达情况可以作为胃癌预后的独立参数。</w:t>
      </w:r>
    </w:p>
    <w:p w:rsidR="000C6806" w:rsidRPr="00BC6560" w:rsidRDefault="000C6806" w:rsidP="00BC6560">
      <w:pPr>
        <w:adjustRightInd w:val="0"/>
        <w:spacing w:line="360" w:lineRule="auto"/>
        <w:ind w:firstLineChars="200" w:firstLine="480"/>
        <w:rPr>
          <w:rFonts w:ascii="黑体" w:eastAsia="黑体" w:hAnsi="黑体"/>
          <w:sz w:val="24"/>
        </w:rPr>
      </w:pPr>
      <w:r w:rsidRPr="00BC6560">
        <w:rPr>
          <w:rFonts w:ascii="黑体" w:eastAsia="黑体" w:hAnsi="黑体"/>
          <w:sz w:val="24"/>
        </w:rPr>
        <w:t>结论</w:t>
      </w:r>
    </w:p>
    <w:p w:rsidR="000C6806" w:rsidRPr="002A29C3" w:rsidRDefault="000C6806" w:rsidP="002A29C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A29C3">
        <w:rPr>
          <w:rFonts w:asciiTheme="minorEastAsia" w:eastAsiaTheme="minorEastAsia" w:hAnsiTheme="minorEastAsia"/>
          <w:sz w:val="24"/>
        </w:rPr>
        <w:t>1.在胃癌组织中存在</w:t>
      </w:r>
      <w:r w:rsidRPr="002A29C3">
        <w:rPr>
          <w:rFonts w:eastAsiaTheme="minorEastAsia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过表达或基因扩增；</w:t>
      </w:r>
    </w:p>
    <w:p w:rsidR="000C6806" w:rsidRPr="002A29C3" w:rsidRDefault="000C6806" w:rsidP="002A29C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A29C3">
        <w:rPr>
          <w:rFonts w:asciiTheme="minorEastAsia" w:eastAsiaTheme="minorEastAsia" w:hAnsiTheme="minorEastAsia"/>
          <w:sz w:val="24"/>
        </w:rPr>
        <w:t>2.在胃癌组织中，</w:t>
      </w:r>
      <w:r w:rsidRPr="002A29C3">
        <w:rPr>
          <w:rFonts w:eastAsiaTheme="minorEastAsia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的表达与患者性别、确诊年龄、分化程度、肿瘤大小无明显相关性（</w:t>
      </w:r>
      <w:r w:rsidRPr="002A29C3">
        <w:rPr>
          <w:rFonts w:eastAsiaTheme="minorEastAsia"/>
          <w:i/>
          <w:sz w:val="24"/>
        </w:rPr>
        <w:t>P</w:t>
      </w:r>
      <w:r w:rsidRPr="002A29C3">
        <w:rPr>
          <w:rFonts w:asciiTheme="minorEastAsia" w:eastAsiaTheme="minorEastAsia" w:hAnsiTheme="minorEastAsia"/>
          <w:kern w:val="0"/>
          <w:sz w:val="24"/>
        </w:rPr>
        <w:t>&gt;</w:t>
      </w:r>
      <w:r w:rsidRPr="002A29C3">
        <w:rPr>
          <w:rFonts w:asciiTheme="minorEastAsia" w:eastAsiaTheme="minorEastAsia" w:hAnsiTheme="minorEastAsia"/>
          <w:sz w:val="24"/>
        </w:rPr>
        <w:t>0.05）；而与肿瘤组织浸润深度、有无淋巴结转移、胃癌</w:t>
      </w:r>
      <w:r w:rsidRPr="002A29C3">
        <w:rPr>
          <w:rFonts w:eastAsiaTheme="minorEastAsia"/>
          <w:sz w:val="24"/>
        </w:rPr>
        <w:t>TNM</w:t>
      </w:r>
      <w:r w:rsidRPr="002A29C3">
        <w:rPr>
          <w:rFonts w:asciiTheme="minorEastAsia" w:eastAsiaTheme="minorEastAsia" w:hAnsiTheme="minorEastAsia"/>
          <w:sz w:val="24"/>
        </w:rPr>
        <w:t>分期及胃癌</w:t>
      </w:r>
      <w:r w:rsidRPr="002A29C3">
        <w:rPr>
          <w:rFonts w:eastAsiaTheme="minorEastAsia"/>
          <w:sz w:val="24"/>
        </w:rPr>
        <w:t>Lauren</w:t>
      </w:r>
      <w:r w:rsidRPr="002A29C3">
        <w:rPr>
          <w:rFonts w:asciiTheme="minorEastAsia" w:eastAsiaTheme="minorEastAsia" w:hAnsiTheme="minorEastAsia"/>
          <w:sz w:val="24"/>
        </w:rPr>
        <w:t>分型密切相关（</w:t>
      </w:r>
      <w:r w:rsidRPr="002A29C3">
        <w:rPr>
          <w:rFonts w:eastAsiaTheme="minorEastAsia"/>
          <w:i/>
          <w:sz w:val="24"/>
        </w:rPr>
        <w:t>P</w:t>
      </w:r>
      <w:r w:rsidRPr="002A29C3">
        <w:rPr>
          <w:rFonts w:asciiTheme="minorEastAsia" w:eastAsiaTheme="minorEastAsia" w:hAnsiTheme="minorEastAsia"/>
          <w:sz w:val="24"/>
        </w:rPr>
        <w:t>&lt;0.05）；</w:t>
      </w:r>
    </w:p>
    <w:p w:rsidR="000C6806" w:rsidRPr="002A29C3" w:rsidRDefault="000C6806" w:rsidP="002A29C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A29C3">
        <w:rPr>
          <w:rFonts w:asciiTheme="minorEastAsia" w:eastAsiaTheme="minorEastAsia" w:hAnsiTheme="minorEastAsia"/>
          <w:sz w:val="24"/>
        </w:rPr>
        <w:t>3.存在</w:t>
      </w:r>
      <w:r w:rsidRPr="002A29C3">
        <w:rPr>
          <w:rFonts w:eastAsiaTheme="minorEastAsia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过表达或基因扩增的胃癌患者，没有生存优势，预后较差，其中位生存时间明显短于</w:t>
      </w:r>
      <w:r w:rsidRPr="00BC6560">
        <w:rPr>
          <w:rFonts w:eastAsiaTheme="minorEastAsia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阴性者；</w:t>
      </w:r>
    </w:p>
    <w:p w:rsidR="000C6806" w:rsidRPr="002A29C3" w:rsidRDefault="000C6806" w:rsidP="002A29C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A29C3">
        <w:rPr>
          <w:rFonts w:asciiTheme="minorEastAsia" w:eastAsiaTheme="minorEastAsia" w:hAnsiTheme="minorEastAsia"/>
          <w:sz w:val="24"/>
        </w:rPr>
        <w:t>4.</w:t>
      </w:r>
      <w:r w:rsidRPr="002A29C3">
        <w:rPr>
          <w:rFonts w:eastAsiaTheme="minorEastAsia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可以作为胃癌预后的独立影响因素。</w:t>
      </w:r>
    </w:p>
    <w:p w:rsidR="00F56279" w:rsidRPr="00BC6560" w:rsidRDefault="000C6806" w:rsidP="002A29C3">
      <w:pPr>
        <w:spacing w:line="360" w:lineRule="auto"/>
        <w:rPr>
          <w:rFonts w:ascii="黑体" w:eastAsia="黑体" w:hAnsi="黑体"/>
          <w:sz w:val="24"/>
        </w:rPr>
      </w:pPr>
      <w:r w:rsidRPr="002A29C3">
        <w:rPr>
          <w:rFonts w:ascii="黑体" w:eastAsia="黑体" w:hAnsi="黑体"/>
          <w:sz w:val="24"/>
        </w:rPr>
        <w:t>关键词</w:t>
      </w:r>
      <w:bookmarkStart w:id="2" w:name="OLE_LINK18"/>
      <w:bookmarkStart w:id="3" w:name="OLE_LINK17"/>
      <w:r w:rsidR="00BC6560">
        <w:rPr>
          <w:rFonts w:ascii="黑体" w:eastAsia="黑体" w:hAnsi="黑体" w:hint="eastAsia"/>
          <w:sz w:val="24"/>
        </w:rPr>
        <w:t xml:space="preserve">  </w:t>
      </w:r>
      <w:r w:rsidRPr="002A29C3">
        <w:rPr>
          <w:rFonts w:asciiTheme="minorEastAsia" w:eastAsiaTheme="minorEastAsia" w:hAnsiTheme="minorEastAsia"/>
          <w:sz w:val="24"/>
        </w:rPr>
        <w:t>胃癌；</w:t>
      </w:r>
      <w:r w:rsidRPr="002A29C3">
        <w:rPr>
          <w:rFonts w:eastAsiaTheme="minorEastAsia"/>
          <w:sz w:val="24"/>
        </w:rPr>
        <w:t>HER-2</w:t>
      </w:r>
      <w:r w:rsidRPr="002A29C3">
        <w:rPr>
          <w:rFonts w:asciiTheme="minorEastAsia" w:eastAsiaTheme="minorEastAsia" w:hAnsiTheme="minorEastAsia"/>
          <w:sz w:val="24"/>
        </w:rPr>
        <w:t>；生物学行为；生存期；预后</w:t>
      </w:r>
      <w:bookmarkEnd w:id="2"/>
      <w:bookmarkEnd w:id="3"/>
    </w:p>
    <w:sectPr w:rsidR="00F56279" w:rsidRPr="00BC6560" w:rsidSect="00975E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842" w:rsidRDefault="00690842" w:rsidP="000C6806">
      <w:r>
        <w:separator/>
      </w:r>
    </w:p>
  </w:endnote>
  <w:endnote w:type="continuationSeparator" w:id="1">
    <w:p w:rsidR="00690842" w:rsidRDefault="00690842" w:rsidP="000C6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842" w:rsidRDefault="00690842" w:rsidP="000C6806">
      <w:r>
        <w:separator/>
      </w:r>
    </w:p>
  </w:footnote>
  <w:footnote w:type="continuationSeparator" w:id="1">
    <w:p w:rsidR="00690842" w:rsidRDefault="00690842" w:rsidP="000C68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6806"/>
    <w:rsid w:val="000C6806"/>
    <w:rsid w:val="002A29C3"/>
    <w:rsid w:val="00690842"/>
    <w:rsid w:val="00975E7E"/>
    <w:rsid w:val="00BC6560"/>
    <w:rsid w:val="00F56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8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68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68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68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6806"/>
    <w:rPr>
      <w:sz w:val="18"/>
      <w:szCs w:val="18"/>
    </w:rPr>
  </w:style>
  <w:style w:type="paragraph" w:customStyle="1" w:styleId="p0">
    <w:name w:val="p0"/>
    <w:basedOn w:val="a"/>
    <w:rsid w:val="002A29C3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191</Words>
  <Characters>1089</Characters>
  <Application>Microsoft Office Word</Application>
  <DocSecurity>0</DocSecurity>
  <Lines>9</Lines>
  <Paragraphs>2</Paragraphs>
  <ScaleCrop>false</ScaleCrop>
  <Company>微软中国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2016-05-07T02:13:00Z</dcterms:created>
  <dcterms:modified xsi:type="dcterms:W3CDTF">2016-05-11T02:34:00Z</dcterms:modified>
</cp:coreProperties>
</file>